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3684" w14:textId="77777777" w:rsidR="0083786D" w:rsidRPr="0083786D" w:rsidRDefault="0083786D" w:rsidP="0083786D">
      <w:pPr>
        <w:spacing w:before="65" w:line="219" w:lineRule="auto"/>
        <w:jc w:val="center"/>
        <w:outlineLvl w:val="0"/>
        <w:rPr>
          <w:rFonts w:ascii="宋体" w:eastAsia="宋体" w:hAnsi="宋体" w:cs="宋体" w:hint="eastAsia"/>
          <w:b/>
          <w:sz w:val="33"/>
          <w:szCs w:val="33"/>
        </w:rPr>
      </w:pPr>
      <w:r w:rsidRPr="0083786D">
        <w:rPr>
          <w:rFonts w:ascii="宋体" w:eastAsia="宋体" w:hAnsi="宋体" w:cs="宋体" w:hint="eastAsia"/>
          <w:b/>
          <w:sz w:val="33"/>
          <w:szCs w:val="33"/>
        </w:rPr>
        <w:t>2025年度湖北省科技进步奖拟提名项目公示</w:t>
      </w:r>
    </w:p>
    <w:p w14:paraId="268355F9" w14:textId="77777777" w:rsidR="0083786D" w:rsidRPr="0083786D" w:rsidRDefault="0083786D" w:rsidP="0083786D">
      <w:pPr>
        <w:spacing w:before="65" w:line="219" w:lineRule="auto"/>
        <w:jc w:val="left"/>
        <w:outlineLvl w:val="0"/>
        <w:rPr>
          <w:rFonts w:ascii="宋体" w:eastAsia="宋体" w:hAnsi="宋体" w:cs="宋体" w:hint="eastAsia"/>
          <w:sz w:val="33"/>
          <w:szCs w:val="33"/>
        </w:rPr>
      </w:pPr>
      <w:r w:rsidRPr="0083786D">
        <w:rPr>
          <w:rFonts w:ascii="宋体" w:eastAsia="宋体" w:hAnsi="宋体" w:cs="宋体" w:hint="eastAsia"/>
          <w:sz w:val="33"/>
          <w:szCs w:val="33"/>
        </w:rPr>
        <w:t>一、 项目名称：重塑免疫微环境防治代谢功能障碍相关脂肪性肝病的靶</w:t>
      </w:r>
      <w:proofErr w:type="gramStart"/>
      <w:r w:rsidRPr="0083786D">
        <w:rPr>
          <w:rFonts w:ascii="宋体" w:eastAsia="宋体" w:hAnsi="宋体" w:cs="宋体" w:hint="eastAsia"/>
          <w:sz w:val="33"/>
          <w:szCs w:val="33"/>
        </w:rPr>
        <w:t>向药物</w:t>
      </w:r>
      <w:proofErr w:type="gramEnd"/>
      <w:r w:rsidRPr="0083786D">
        <w:rPr>
          <w:rFonts w:ascii="宋体" w:eastAsia="宋体" w:hAnsi="宋体" w:cs="宋体" w:hint="eastAsia"/>
          <w:sz w:val="33"/>
          <w:szCs w:val="33"/>
        </w:rPr>
        <w:t xml:space="preserve">研发与临床应用 </w:t>
      </w:r>
    </w:p>
    <w:p w14:paraId="1785FA24" w14:textId="77777777" w:rsidR="0083786D" w:rsidRPr="0083786D" w:rsidRDefault="0083786D" w:rsidP="0083786D">
      <w:pPr>
        <w:spacing w:before="65" w:line="219" w:lineRule="auto"/>
        <w:jc w:val="left"/>
        <w:outlineLvl w:val="0"/>
        <w:rPr>
          <w:rFonts w:ascii="宋体" w:eastAsia="宋体" w:hAnsi="宋体" w:cs="宋体" w:hint="eastAsia"/>
          <w:sz w:val="33"/>
          <w:szCs w:val="33"/>
        </w:rPr>
      </w:pPr>
      <w:r w:rsidRPr="0083786D">
        <w:rPr>
          <w:rFonts w:ascii="宋体" w:eastAsia="宋体" w:hAnsi="宋体" w:cs="宋体" w:hint="eastAsia"/>
          <w:sz w:val="33"/>
          <w:szCs w:val="33"/>
        </w:rPr>
        <w:t>二、 提名者及提名等级</w:t>
      </w:r>
    </w:p>
    <w:p w14:paraId="09D9F1E7" w14:textId="77777777" w:rsidR="0083786D" w:rsidRPr="0083786D" w:rsidRDefault="0083786D" w:rsidP="0083786D">
      <w:pPr>
        <w:spacing w:before="65" w:line="219" w:lineRule="auto"/>
        <w:jc w:val="left"/>
        <w:outlineLvl w:val="0"/>
        <w:rPr>
          <w:rFonts w:ascii="宋体" w:eastAsia="宋体" w:hAnsi="宋体" w:cs="宋体" w:hint="eastAsia"/>
          <w:sz w:val="33"/>
          <w:szCs w:val="33"/>
        </w:rPr>
      </w:pPr>
      <w:r w:rsidRPr="0083786D">
        <w:rPr>
          <w:rFonts w:ascii="宋体" w:eastAsia="宋体" w:hAnsi="宋体" w:cs="宋体" w:hint="eastAsia"/>
          <w:sz w:val="33"/>
          <w:szCs w:val="33"/>
        </w:rPr>
        <w:t xml:space="preserve">提名者：十堰市科技局 </w:t>
      </w:r>
    </w:p>
    <w:p w14:paraId="0921CE96" w14:textId="77777777" w:rsidR="0083786D" w:rsidRPr="0083786D" w:rsidRDefault="0083786D" w:rsidP="0083786D">
      <w:pPr>
        <w:spacing w:before="65" w:line="219" w:lineRule="auto"/>
        <w:jc w:val="left"/>
        <w:outlineLvl w:val="0"/>
        <w:rPr>
          <w:rFonts w:ascii="宋体" w:eastAsia="宋体" w:hAnsi="宋体" w:cs="宋体" w:hint="eastAsia"/>
          <w:sz w:val="33"/>
          <w:szCs w:val="33"/>
        </w:rPr>
      </w:pPr>
      <w:r w:rsidRPr="0083786D">
        <w:rPr>
          <w:rFonts w:ascii="宋体" w:eastAsia="宋体" w:hAnsi="宋体" w:cs="宋体" w:hint="eastAsia"/>
          <w:sz w:val="33"/>
          <w:szCs w:val="33"/>
        </w:rPr>
        <w:t>提名等级：湖北省科技进步一等奖</w:t>
      </w:r>
    </w:p>
    <w:p w14:paraId="70FF15A6" w14:textId="77777777" w:rsidR="0083786D" w:rsidRDefault="0083786D" w:rsidP="0083786D">
      <w:pPr>
        <w:spacing w:before="65" w:line="219" w:lineRule="auto"/>
        <w:jc w:val="left"/>
        <w:outlineLvl w:val="0"/>
        <w:rPr>
          <w:rFonts w:ascii="宋体" w:eastAsia="宋体" w:hAnsi="宋体" w:cs="宋体" w:hint="eastAsia"/>
          <w:sz w:val="33"/>
          <w:szCs w:val="33"/>
        </w:rPr>
      </w:pPr>
      <w:r w:rsidRPr="0083786D">
        <w:rPr>
          <w:rFonts w:ascii="宋体" w:eastAsia="宋体" w:hAnsi="宋体" w:cs="宋体" w:hint="eastAsia"/>
          <w:sz w:val="33"/>
          <w:szCs w:val="33"/>
        </w:rPr>
        <w:t>三、 项目简介</w:t>
      </w:r>
    </w:p>
    <w:p w14:paraId="04EE7440" w14:textId="77777777" w:rsidR="0083786D" w:rsidRPr="0083786D" w:rsidRDefault="0083786D" w:rsidP="0083786D">
      <w:pPr>
        <w:spacing w:before="65" w:line="219" w:lineRule="auto"/>
        <w:ind w:firstLineChars="200" w:firstLine="660"/>
        <w:jc w:val="left"/>
        <w:outlineLvl w:val="0"/>
        <w:rPr>
          <w:rFonts w:ascii="宋体" w:eastAsia="宋体" w:hAnsi="宋体" w:cs="宋体" w:hint="eastAsia"/>
          <w:sz w:val="33"/>
          <w:szCs w:val="33"/>
        </w:rPr>
      </w:pPr>
      <w:r w:rsidRPr="0083786D">
        <w:rPr>
          <w:rFonts w:ascii="宋体" w:eastAsia="宋体" w:hAnsi="宋体" w:cs="宋体" w:hint="eastAsia"/>
          <w:sz w:val="33"/>
          <w:szCs w:val="33"/>
        </w:rPr>
        <w:t>项目组围绕“重塑免疫微环境防治代谢功能障碍相关脂肪性肝病（MAFLD）的靶向药物研发与临床应用”这一关键临床问题，聚焦“解析免疫微环境如何调控MAFLD进展及新型功能化纳米药物（如新型脂质体包被小分子化合物和</w:t>
      </w:r>
      <w:proofErr w:type="gramStart"/>
      <w:r w:rsidRPr="0083786D">
        <w:rPr>
          <w:rFonts w:ascii="宋体" w:eastAsia="宋体" w:hAnsi="宋体" w:cs="宋体" w:hint="eastAsia"/>
          <w:sz w:val="33"/>
          <w:szCs w:val="33"/>
        </w:rPr>
        <w:t>靶基因</w:t>
      </w:r>
      <w:proofErr w:type="gramEnd"/>
      <w:r w:rsidRPr="0083786D">
        <w:rPr>
          <w:rFonts w:ascii="宋体" w:eastAsia="宋体" w:hAnsi="宋体" w:cs="宋体" w:hint="eastAsia"/>
          <w:sz w:val="33"/>
          <w:szCs w:val="33"/>
        </w:rPr>
        <w:t>mRNA等）靶向调控免疫微环境治疗MAFLD”这一科学前沿，在国家自然科学基金、湖北省科技</w:t>
      </w:r>
      <w:proofErr w:type="gramStart"/>
      <w:r w:rsidRPr="0083786D">
        <w:rPr>
          <w:rFonts w:ascii="宋体" w:eastAsia="宋体" w:hAnsi="宋体" w:cs="宋体" w:hint="eastAsia"/>
          <w:sz w:val="33"/>
          <w:szCs w:val="33"/>
        </w:rPr>
        <w:t>厅重点</w:t>
      </w:r>
      <w:proofErr w:type="gramEnd"/>
      <w:r w:rsidRPr="0083786D">
        <w:rPr>
          <w:rFonts w:ascii="宋体" w:eastAsia="宋体" w:hAnsi="宋体" w:cs="宋体" w:hint="eastAsia"/>
          <w:sz w:val="33"/>
          <w:szCs w:val="33"/>
        </w:rPr>
        <w:t>项目、湖北省科技</w:t>
      </w:r>
      <w:proofErr w:type="gramStart"/>
      <w:r w:rsidRPr="0083786D">
        <w:rPr>
          <w:rFonts w:ascii="宋体" w:eastAsia="宋体" w:hAnsi="宋体" w:cs="宋体" w:hint="eastAsia"/>
          <w:sz w:val="33"/>
          <w:szCs w:val="33"/>
        </w:rPr>
        <w:t>厅创新</w:t>
      </w:r>
      <w:proofErr w:type="gramEnd"/>
      <w:r w:rsidRPr="0083786D">
        <w:rPr>
          <w:rFonts w:ascii="宋体" w:eastAsia="宋体" w:hAnsi="宋体" w:cs="宋体" w:hint="eastAsia"/>
          <w:sz w:val="33"/>
          <w:szCs w:val="33"/>
        </w:rPr>
        <w:t>群体项目和教育厅重点项目等项目的支持下，以高质量成果临床转化为导向，重点开展以下工作：</w:t>
      </w:r>
    </w:p>
    <w:p w14:paraId="4AEE60F0" w14:textId="77777777" w:rsidR="0083786D" w:rsidRPr="0083786D" w:rsidRDefault="0083786D" w:rsidP="0083786D">
      <w:pPr>
        <w:spacing w:before="65" w:line="219" w:lineRule="auto"/>
        <w:jc w:val="left"/>
        <w:outlineLvl w:val="0"/>
        <w:rPr>
          <w:rFonts w:ascii="宋体" w:eastAsia="宋体" w:hAnsi="宋体" w:cs="宋体" w:hint="eastAsia"/>
          <w:sz w:val="33"/>
          <w:szCs w:val="33"/>
        </w:rPr>
      </w:pPr>
      <w:r w:rsidRPr="0083786D">
        <w:rPr>
          <w:rFonts w:ascii="宋体" w:eastAsia="宋体" w:hAnsi="宋体" w:cs="宋体" w:hint="eastAsia"/>
          <w:sz w:val="33"/>
          <w:szCs w:val="33"/>
        </w:rPr>
        <w:t>（1）利用多组学分析和体内外实验验证，筛选MAFLD不同疾病阶段（如肝纤维化、肝硬化和肝</w:t>
      </w:r>
      <w:r w:rsidRPr="0083786D">
        <w:rPr>
          <w:rFonts w:ascii="宋体" w:eastAsia="宋体" w:hAnsi="宋体" w:cs="宋体" w:hint="eastAsia"/>
          <w:sz w:val="33"/>
          <w:szCs w:val="33"/>
        </w:rPr>
        <w:lastRenderedPageBreak/>
        <w:t>癌）患者血液或者肝脏不同细胞类群中多个异常表达的指标，为MAFLD早期诊断和预后评估提供更灵敏的无创检测新指标；</w:t>
      </w:r>
    </w:p>
    <w:p w14:paraId="3609BF0A" w14:textId="77777777" w:rsidR="0083786D" w:rsidRPr="0083786D" w:rsidRDefault="0083786D" w:rsidP="0083786D">
      <w:pPr>
        <w:spacing w:before="65" w:line="219" w:lineRule="auto"/>
        <w:jc w:val="left"/>
        <w:outlineLvl w:val="0"/>
        <w:rPr>
          <w:rFonts w:ascii="宋体" w:eastAsia="宋体" w:hAnsi="宋体" w:cs="宋体" w:hint="eastAsia"/>
          <w:sz w:val="33"/>
          <w:szCs w:val="33"/>
        </w:rPr>
      </w:pPr>
      <w:r w:rsidRPr="0083786D">
        <w:rPr>
          <w:rFonts w:ascii="宋体" w:eastAsia="宋体" w:hAnsi="宋体" w:cs="宋体" w:hint="eastAsia"/>
          <w:sz w:val="33"/>
          <w:szCs w:val="33"/>
        </w:rPr>
        <w:t>（2）阐明多个新基因通过</w:t>
      </w:r>
      <w:proofErr w:type="gramStart"/>
      <w:r w:rsidRPr="0083786D">
        <w:rPr>
          <w:rFonts w:ascii="宋体" w:eastAsia="宋体" w:hAnsi="宋体" w:cs="宋体" w:hint="eastAsia"/>
          <w:sz w:val="33"/>
          <w:szCs w:val="33"/>
        </w:rPr>
        <w:t>介</w:t>
      </w:r>
      <w:proofErr w:type="gramEnd"/>
      <w:r w:rsidRPr="0083786D">
        <w:rPr>
          <w:rFonts w:ascii="宋体" w:eastAsia="宋体" w:hAnsi="宋体" w:cs="宋体" w:hint="eastAsia"/>
          <w:sz w:val="33"/>
          <w:szCs w:val="33"/>
        </w:rPr>
        <w:t>导免疫微环境调控MAFLD不同阶段疾病发生和进展的作用及机制，为MAFLD相关疾病治疗提供新靶点；</w:t>
      </w:r>
    </w:p>
    <w:p w14:paraId="2EF2B308" w14:textId="77777777" w:rsidR="0083786D" w:rsidRPr="0083786D" w:rsidRDefault="0083786D" w:rsidP="0083786D">
      <w:pPr>
        <w:spacing w:before="65" w:line="219" w:lineRule="auto"/>
        <w:jc w:val="left"/>
        <w:outlineLvl w:val="0"/>
        <w:rPr>
          <w:rFonts w:ascii="宋体" w:eastAsia="宋体" w:hAnsi="宋体" w:cs="宋体" w:hint="eastAsia"/>
          <w:sz w:val="33"/>
          <w:szCs w:val="33"/>
        </w:rPr>
      </w:pPr>
      <w:r w:rsidRPr="0083786D">
        <w:rPr>
          <w:rFonts w:ascii="宋体" w:eastAsia="宋体" w:hAnsi="宋体" w:cs="宋体" w:hint="eastAsia"/>
          <w:sz w:val="33"/>
          <w:szCs w:val="33"/>
        </w:rPr>
        <w:t>（3）建立MAFLD相关疾病新靶点的抑制剂或者激活剂筛选平台，并构建针对新靶点的功能化纳米药物递送体系，重塑MAFLD相关疾病免疫微环境，改善MAFLD进展，为MAFLD的靶</w:t>
      </w:r>
      <w:proofErr w:type="gramStart"/>
      <w:r w:rsidRPr="0083786D">
        <w:rPr>
          <w:rFonts w:ascii="宋体" w:eastAsia="宋体" w:hAnsi="宋体" w:cs="宋体" w:hint="eastAsia"/>
          <w:sz w:val="33"/>
          <w:szCs w:val="33"/>
        </w:rPr>
        <w:t>向药物</w:t>
      </w:r>
      <w:proofErr w:type="gramEnd"/>
      <w:r w:rsidRPr="0083786D">
        <w:rPr>
          <w:rFonts w:ascii="宋体" w:eastAsia="宋体" w:hAnsi="宋体" w:cs="宋体" w:hint="eastAsia"/>
          <w:sz w:val="33"/>
          <w:szCs w:val="33"/>
        </w:rPr>
        <w:t>递送与免疫治疗提供安全高效方案；</w:t>
      </w:r>
    </w:p>
    <w:p w14:paraId="2FCB0FED" w14:textId="77777777" w:rsidR="0083786D" w:rsidRDefault="0083786D" w:rsidP="0083786D">
      <w:pPr>
        <w:spacing w:before="65" w:line="219" w:lineRule="auto"/>
        <w:jc w:val="left"/>
        <w:outlineLvl w:val="0"/>
        <w:rPr>
          <w:rFonts w:ascii="宋体" w:eastAsia="宋体" w:hAnsi="宋体" w:cs="宋体" w:hint="eastAsia"/>
          <w:sz w:val="33"/>
          <w:szCs w:val="33"/>
        </w:rPr>
      </w:pPr>
      <w:r w:rsidRPr="0083786D">
        <w:rPr>
          <w:rFonts w:ascii="宋体" w:eastAsia="宋体" w:hAnsi="宋体" w:cs="宋体" w:hint="eastAsia"/>
          <w:sz w:val="33"/>
          <w:szCs w:val="33"/>
        </w:rPr>
        <w:t>（4）优化已建立的临床级MAFLD相关疾病患者肝脏类器官和人诱导多能干细胞（</w:t>
      </w:r>
      <w:proofErr w:type="spellStart"/>
      <w:r w:rsidRPr="0083786D">
        <w:rPr>
          <w:rFonts w:ascii="宋体" w:eastAsia="宋体" w:hAnsi="宋体" w:cs="宋体" w:hint="eastAsia"/>
          <w:sz w:val="33"/>
          <w:szCs w:val="33"/>
        </w:rPr>
        <w:t>hiPSC</w:t>
      </w:r>
      <w:proofErr w:type="spellEnd"/>
      <w:r w:rsidRPr="0083786D">
        <w:rPr>
          <w:rFonts w:ascii="宋体" w:eastAsia="宋体" w:hAnsi="宋体" w:cs="宋体" w:hint="eastAsia"/>
          <w:sz w:val="33"/>
          <w:szCs w:val="33"/>
        </w:rPr>
        <w:t>）来源的肝脏类器官技术平台，搭建临床级肝脏类</w:t>
      </w:r>
      <w:proofErr w:type="gramStart"/>
      <w:r w:rsidRPr="0083786D">
        <w:rPr>
          <w:rFonts w:ascii="宋体" w:eastAsia="宋体" w:hAnsi="宋体" w:cs="宋体" w:hint="eastAsia"/>
          <w:sz w:val="33"/>
          <w:szCs w:val="33"/>
        </w:rPr>
        <w:t>器官筛药体系</w:t>
      </w:r>
      <w:proofErr w:type="gramEnd"/>
      <w:r w:rsidRPr="0083786D">
        <w:rPr>
          <w:rFonts w:ascii="宋体" w:eastAsia="宋体" w:hAnsi="宋体" w:cs="宋体" w:hint="eastAsia"/>
          <w:sz w:val="33"/>
          <w:szCs w:val="33"/>
        </w:rPr>
        <w:t>，指导临床患者用药，为MAFLD个性化诊疗开创全新方案。</w:t>
      </w:r>
    </w:p>
    <w:p w14:paraId="1C2EBEA8" w14:textId="77777777" w:rsidR="0083786D" w:rsidRDefault="0083786D" w:rsidP="0083786D">
      <w:pPr>
        <w:spacing w:before="65" w:line="219" w:lineRule="auto"/>
        <w:jc w:val="center"/>
        <w:outlineLvl w:val="0"/>
        <w:rPr>
          <w:rFonts w:ascii="宋体" w:eastAsia="宋体" w:hAnsi="宋体" w:cs="宋体" w:hint="eastAsia"/>
          <w:sz w:val="33"/>
          <w:szCs w:val="33"/>
        </w:rPr>
      </w:pPr>
    </w:p>
    <w:p w14:paraId="4854F86A" w14:textId="77777777" w:rsidR="0083786D" w:rsidRDefault="0083786D" w:rsidP="0083786D">
      <w:pPr>
        <w:spacing w:before="65" w:line="219" w:lineRule="auto"/>
        <w:jc w:val="center"/>
        <w:outlineLvl w:val="0"/>
        <w:rPr>
          <w:rFonts w:ascii="宋体" w:eastAsia="宋体" w:hAnsi="宋体" w:cs="宋体" w:hint="eastAsia"/>
          <w:b/>
          <w:sz w:val="33"/>
          <w:szCs w:val="33"/>
        </w:rPr>
      </w:pPr>
    </w:p>
    <w:p w14:paraId="7ECADBFC" w14:textId="77777777" w:rsidR="0083786D" w:rsidRPr="0083786D" w:rsidRDefault="0083786D" w:rsidP="0083786D">
      <w:pPr>
        <w:spacing w:before="65" w:line="219" w:lineRule="auto"/>
        <w:jc w:val="center"/>
        <w:outlineLvl w:val="0"/>
        <w:rPr>
          <w:rFonts w:ascii="宋体" w:eastAsia="宋体" w:hAnsi="宋体" w:cs="宋体" w:hint="eastAsia"/>
          <w:b/>
          <w:sz w:val="33"/>
          <w:szCs w:val="33"/>
        </w:rPr>
      </w:pPr>
      <w:r w:rsidRPr="0083786D">
        <w:rPr>
          <w:rFonts w:ascii="宋体" w:eastAsia="宋体" w:hAnsi="宋体" w:cs="宋体" w:hint="eastAsia"/>
          <w:b/>
          <w:sz w:val="33"/>
          <w:szCs w:val="33"/>
        </w:rPr>
        <w:lastRenderedPageBreak/>
        <w:t>2025年度湖北省科技进步奖</w:t>
      </w:r>
      <w:r>
        <w:rPr>
          <w:rFonts w:ascii="宋体" w:eastAsia="宋体" w:hAnsi="宋体" w:cs="宋体" w:hint="eastAsia"/>
          <w:b/>
          <w:sz w:val="33"/>
          <w:szCs w:val="33"/>
        </w:rPr>
        <w:t>公示信息表</w:t>
      </w:r>
    </w:p>
    <w:tbl>
      <w:tblPr>
        <w:tblStyle w:val="TableNormal"/>
        <w:tblpPr w:leftFromText="180" w:rightFromText="180" w:vertAnchor="text" w:horzAnchor="page" w:tblpXSpec="center" w:tblpY="313"/>
        <w:tblOverlap w:val="never"/>
        <w:tblW w:w="14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51"/>
        <w:gridCol w:w="1051"/>
        <w:gridCol w:w="3201"/>
        <w:gridCol w:w="709"/>
        <w:gridCol w:w="982"/>
        <w:gridCol w:w="719"/>
        <w:gridCol w:w="1130"/>
        <w:gridCol w:w="310"/>
        <w:gridCol w:w="1679"/>
        <w:gridCol w:w="1559"/>
        <w:gridCol w:w="1134"/>
        <w:gridCol w:w="982"/>
      </w:tblGrid>
      <w:tr w:rsidR="002E2C7F" w14:paraId="47CBDE05" w14:textId="77777777">
        <w:trPr>
          <w:trHeight w:val="90"/>
          <w:jc w:val="center"/>
        </w:trPr>
        <w:tc>
          <w:tcPr>
            <w:tcW w:w="2474" w:type="dxa"/>
            <w:gridSpan w:val="3"/>
            <w:vAlign w:val="center"/>
          </w:tcPr>
          <w:p w14:paraId="47665ED0" w14:textId="77777777" w:rsidR="002E2C7F" w:rsidRDefault="006113A2">
            <w:pPr>
              <w:spacing w:before="114" w:line="22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2"/>
                <w:szCs w:val="21"/>
              </w:rPr>
              <w:t>项目名称</w:t>
            </w:r>
          </w:p>
        </w:tc>
        <w:tc>
          <w:tcPr>
            <w:tcW w:w="12405" w:type="dxa"/>
            <w:gridSpan w:val="10"/>
            <w:vAlign w:val="center"/>
          </w:tcPr>
          <w:p w14:paraId="3D502C9A" w14:textId="77777777" w:rsidR="002E2C7F" w:rsidRDefault="00AD6E67" w:rsidP="00E51C8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1C80">
              <w:rPr>
                <w:rFonts w:ascii="Times New Roman" w:eastAsia="仿宋" w:hAnsi="Times New Roman" w:cs="Times New Roman" w:hint="eastAsia"/>
                <w:szCs w:val="21"/>
              </w:rPr>
              <w:t>重塑免疫微环境防治代谢功能障碍相关脂肪性肝病的靶</w:t>
            </w:r>
            <w:proofErr w:type="gramStart"/>
            <w:r w:rsidRPr="00E51C80">
              <w:rPr>
                <w:rFonts w:ascii="Times New Roman" w:eastAsia="仿宋" w:hAnsi="Times New Roman" w:cs="Times New Roman" w:hint="eastAsia"/>
                <w:szCs w:val="21"/>
              </w:rPr>
              <w:t>向药物</w:t>
            </w:r>
            <w:proofErr w:type="gramEnd"/>
            <w:r w:rsidRPr="00E51C80">
              <w:rPr>
                <w:rFonts w:ascii="Times New Roman" w:eastAsia="仿宋" w:hAnsi="Times New Roman" w:cs="Times New Roman" w:hint="eastAsia"/>
                <w:szCs w:val="21"/>
              </w:rPr>
              <w:t>研发与临床应用</w:t>
            </w:r>
          </w:p>
        </w:tc>
      </w:tr>
      <w:tr w:rsidR="002E2C7F" w14:paraId="1DBCD7A6" w14:textId="77777777">
        <w:trPr>
          <w:trHeight w:val="90"/>
          <w:jc w:val="center"/>
        </w:trPr>
        <w:tc>
          <w:tcPr>
            <w:tcW w:w="2474" w:type="dxa"/>
            <w:gridSpan w:val="3"/>
            <w:vAlign w:val="center"/>
          </w:tcPr>
          <w:p w14:paraId="731149FE" w14:textId="77777777" w:rsidR="002E2C7F" w:rsidRDefault="006113A2">
            <w:pPr>
              <w:spacing w:before="100" w:line="22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  <w:t>提名单位</w:t>
            </w:r>
          </w:p>
        </w:tc>
        <w:tc>
          <w:tcPr>
            <w:tcW w:w="4892" w:type="dxa"/>
            <w:gridSpan w:val="3"/>
            <w:vAlign w:val="center"/>
          </w:tcPr>
          <w:p w14:paraId="79508FDA" w14:textId="77777777" w:rsidR="002E2C7F" w:rsidRDefault="00AD6E67" w:rsidP="00E51C8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1C80">
              <w:rPr>
                <w:rFonts w:ascii="Times New Roman" w:eastAsia="仿宋" w:hAnsi="Times New Roman" w:cs="Times New Roman" w:hint="eastAsia"/>
                <w:szCs w:val="21"/>
              </w:rPr>
              <w:t>十堰市人民政府</w:t>
            </w:r>
          </w:p>
        </w:tc>
        <w:tc>
          <w:tcPr>
            <w:tcW w:w="2159" w:type="dxa"/>
            <w:gridSpan w:val="3"/>
            <w:vAlign w:val="center"/>
          </w:tcPr>
          <w:p w14:paraId="22ABA4B2" w14:textId="77777777" w:rsidR="002E2C7F" w:rsidRDefault="006113A2">
            <w:pPr>
              <w:spacing w:before="96" w:line="219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4"/>
                <w:szCs w:val="21"/>
              </w:rPr>
              <w:t>提名等级</w:t>
            </w:r>
          </w:p>
        </w:tc>
        <w:tc>
          <w:tcPr>
            <w:tcW w:w="5354" w:type="dxa"/>
            <w:gridSpan w:val="4"/>
            <w:vAlign w:val="center"/>
          </w:tcPr>
          <w:p w14:paraId="2DD9F5F1" w14:textId="77777777" w:rsidR="002E2C7F" w:rsidRDefault="00AD6E67" w:rsidP="00E51C8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1C80">
              <w:rPr>
                <w:rFonts w:ascii="Times New Roman" w:eastAsia="仿宋" w:hAnsi="Times New Roman" w:cs="Times New Roman" w:hint="eastAsia"/>
                <w:szCs w:val="21"/>
              </w:rPr>
              <w:t>湖北省科技进步奖一等奖</w:t>
            </w:r>
          </w:p>
        </w:tc>
      </w:tr>
      <w:tr w:rsidR="002E2C7F" w:rsidRPr="00863744" w14:paraId="56134CF1" w14:textId="77777777">
        <w:trPr>
          <w:trHeight w:val="90"/>
          <w:jc w:val="center"/>
        </w:trPr>
        <w:tc>
          <w:tcPr>
            <w:tcW w:w="2474" w:type="dxa"/>
            <w:gridSpan w:val="3"/>
            <w:vAlign w:val="center"/>
          </w:tcPr>
          <w:p w14:paraId="70A9BE83" w14:textId="77777777" w:rsidR="002E2C7F" w:rsidRDefault="006113A2">
            <w:pPr>
              <w:spacing w:before="100" w:line="219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"/>
                <w:szCs w:val="21"/>
              </w:rPr>
              <w:t>主要完成人</w:t>
            </w:r>
          </w:p>
        </w:tc>
        <w:tc>
          <w:tcPr>
            <w:tcW w:w="12405" w:type="dxa"/>
            <w:gridSpan w:val="10"/>
            <w:vAlign w:val="center"/>
          </w:tcPr>
          <w:p w14:paraId="3AFEA52C" w14:textId="77777777" w:rsidR="002E2C7F" w:rsidRPr="00E51C80" w:rsidRDefault="00863744" w:rsidP="009221C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863744">
              <w:rPr>
                <w:rFonts w:ascii="Times New Roman" w:eastAsia="仿宋" w:hAnsi="Times New Roman" w:cs="Times New Roman" w:hint="eastAsia"/>
                <w:szCs w:val="21"/>
              </w:rPr>
              <w:t>郭兴荣，蔡卫斌，</w:t>
            </w:r>
            <w:r w:rsidR="00BD2C2A" w:rsidRPr="00863744">
              <w:rPr>
                <w:rFonts w:ascii="Times New Roman" w:eastAsia="仿宋" w:hAnsi="Times New Roman" w:cs="Times New Roman" w:hint="eastAsia"/>
                <w:szCs w:val="21"/>
              </w:rPr>
              <w:t>江斌</w:t>
            </w:r>
            <w:r w:rsidRPr="00863744">
              <w:rPr>
                <w:rFonts w:ascii="Times New Roman" w:eastAsia="仿宋" w:hAnsi="Times New Roman" w:cs="Times New Roman" w:hint="eastAsia"/>
                <w:szCs w:val="21"/>
              </w:rPr>
              <w:t>，</w:t>
            </w:r>
            <w:r w:rsidR="009221C1" w:rsidRPr="00863744">
              <w:rPr>
                <w:rFonts w:ascii="Times New Roman" w:eastAsia="仿宋" w:hAnsi="Times New Roman" w:cs="Times New Roman" w:hint="eastAsia"/>
                <w:szCs w:val="21"/>
              </w:rPr>
              <w:t>周文辉，</w:t>
            </w:r>
            <w:r w:rsidRPr="00863744">
              <w:rPr>
                <w:rFonts w:ascii="Times New Roman" w:eastAsia="仿宋" w:hAnsi="Times New Roman" w:cs="Times New Roman" w:hint="eastAsia"/>
                <w:szCs w:val="21"/>
              </w:rPr>
              <w:t>陈策实，马石楠，段斌，</w:t>
            </w:r>
            <w:r w:rsidR="00BD2C2A" w:rsidRPr="00863744">
              <w:rPr>
                <w:rFonts w:ascii="Times New Roman" w:eastAsia="仿宋" w:hAnsi="Times New Roman" w:cs="Times New Roman" w:hint="eastAsia"/>
                <w:szCs w:val="21"/>
              </w:rPr>
              <w:t>王小莉</w:t>
            </w:r>
            <w:r w:rsidRPr="00863744">
              <w:rPr>
                <w:rFonts w:ascii="Times New Roman" w:eastAsia="仿宋" w:hAnsi="Times New Roman" w:cs="Times New Roman" w:hint="eastAsia"/>
                <w:szCs w:val="21"/>
              </w:rPr>
              <w:t>，阮绪芝，冯莹，江善青，</w:t>
            </w:r>
            <w:proofErr w:type="gramStart"/>
            <w:r w:rsidRPr="00863744">
              <w:rPr>
                <w:rFonts w:ascii="Times New Roman" w:eastAsia="仿宋" w:hAnsi="Times New Roman" w:cs="Times New Roman" w:hint="eastAsia"/>
                <w:szCs w:val="21"/>
              </w:rPr>
              <w:t>杜力杰</w:t>
            </w:r>
            <w:proofErr w:type="gramEnd"/>
          </w:p>
        </w:tc>
      </w:tr>
      <w:tr w:rsidR="002E2C7F" w14:paraId="3EA08684" w14:textId="77777777">
        <w:trPr>
          <w:trHeight w:val="90"/>
          <w:jc w:val="center"/>
        </w:trPr>
        <w:tc>
          <w:tcPr>
            <w:tcW w:w="2474" w:type="dxa"/>
            <w:gridSpan w:val="3"/>
            <w:vAlign w:val="center"/>
          </w:tcPr>
          <w:p w14:paraId="3D7BB016" w14:textId="77777777" w:rsidR="002E2C7F" w:rsidRDefault="006113A2">
            <w:pPr>
              <w:spacing w:before="108" w:line="219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4"/>
                <w:szCs w:val="21"/>
              </w:rPr>
              <w:t>主要完成单位</w:t>
            </w:r>
          </w:p>
        </w:tc>
        <w:tc>
          <w:tcPr>
            <w:tcW w:w="12405" w:type="dxa"/>
            <w:gridSpan w:val="10"/>
            <w:vAlign w:val="center"/>
          </w:tcPr>
          <w:p w14:paraId="4D1F2378" w14:textId="77777777" w:rsidR="002E2C7F" w:rsidRPr="00D60485" w:rsidRDefault="00AD6E67" w:rsidP="009221C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51C80">
              <w:rPr>
                <w:rFonts w:ascii="Times New Roman" w:eastAsia="仿宋" w:hAnsi="Times New Roman" w:cs="Times New Roman" w:hint="eastAsia"/>
                <w:szCs w:val="21"/>
              </w:rPr>
              <w:t>湖北医药学院附属太和医院，中山大学，</w:t>
            </w:r>
            <w:r w:rsidR="009221C1">
              <w:rPr>
                <w:rFonts w:ascii="Times New Roman" w:eastAsia="仿宋" w:hAnsi="Times New Roman" w:cs="Times New Roman" w:hint="eastAsia"/>
                <w:szCs w:val="21"/>
              </w:rPr>
              <w:t>中国科学院</w:t>
            </w:r>
            <w:r w:rsidR="00863744" w:rsidRPr="00863744">
              <w:rPr>
                <w:rFonts w:ascii="Times New Roman" w:eastAsia="仿宋" w:hAnsi="Times New Roman" w:cs="Times New Roman" w:hint="eastAsia"/>
                <w:szCs w:val="21"/>
              </w:rPr>
              <w:t>昆明</w:t>
            </w:r>
            <w:r w:rsidR="009221C1">
              <w:rPr>
                <w:rFonts w:ascii="Times New Roman" w:eastAsia="仿宋" w:hAnsi="Times New Roman" w:cs="Times New Roman" w:hint="eastAsia"/>
                <w:szCs w:val="21"/>
              </w:rPr>
              <w:t>动物研究所</w:t>
            </w:r>
            <w:r w:rsidR="00863744">
              <w:rPr>
                <w:rFonts w:ascii="Times New Roman" w:eastAsia="仿宋" w:hAnsi="Times New Roman" w:cs="Times New Roman" w:hint="eastAsia"/>
                <w:szCs w:val="21"/>
              </w:rPr>
              <w:t>，</w:t>
            </w:r>
            <w:r w:rsidRPr="00E51C80">
              <w:rPr>
                <w:rFonts w:ascii="Times New Roman" w:eastAsia="仿宋" w:hAnsi="Times New Roman" w:cs="Times New Roman" w:hint="eastAsia"/>
                <w:szCs w:val="21"/>
              </w:rPr>
              <w:t>上海市浦东新区公利医院，湖北爱济</w:t>
            </w:r>
            <w:proofErr w:type="gramStart"/>
            <w:r w:rsidRPr="00E51C80">
              <w:rPr>
                <w:rFonts w:ascii="Times New Roman" w:eastAsia="仿宋" w:hAnsi="Times New Roman" w:cs="Times New Roman" w:hint="eastAsia"/>
                <w:szCs w:val="21"/>
              </w:rPr>
              <w:t>莱</w:t>
            </w:r>
            <w:proofErr w:type="gramEnd"/>
            <w:r w:rsidRPr="00E51C80">
              <w:rPr>
                <w:rFonts w:ascii="Times New Roman" w:eastAsia="仿宋" w:hAnsi="Times New Roman" w:cs="Times New Roman" w:hint="eastAsia"/>
                <w:szCs w:val="21"/>
              </w:rPr>
              <w:t>斯生物科技有限公司</w:t>
            </w:r>
          </w:p>
        </w:tc>
      </w:tr>
      <w:tr w:rsidR="002E2C7F" w14:paraId="73A715A9" w14:textId="77777777">
        <w:trPr>
          <w:trHeight w:val="90"/>
          <w:jc w:val="center"/>
        </w:trPr>
        <w:tc>
          <w:tcPr>
            <w:tcW w:w="14879" w:type="dxa"/>
            <w:gridSpan w:val="13"/>
            <w:vAlign w:val="center"/>
          </w:tcPr>
          <w:p w14:paraId="2F553A37" w14:textId="77777777" w:rsidR="002E2C7F" w:rsidRDefault="006113A2">
            <w:pPr>
              <w:spacing w:before="99" w:line="219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Cs w:val="21"/>
              </w:rPr>
              <w:t>主要知识产权和标准规范等目录</w:t>
            </w:r>
            <w:r>
              <w:rPr>
                <w:rFonts w:ascii="Times New Roman" w:eastAsia="宋体" w:hAnsi="Times New Roman" w:cs="Times New Roman"/>
                <w:b/>
                <w:bCs/>
                <w:spacing w:val="-1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spacing w:val="-1"/>
                <w:szCs w:val="21"/>
              </w:rPr>
              <w:t>不超过</w:t>
            </w:r>
            <w:r>
              <w:rPr>
                <w:rFonts w:ascii="Times New Roman" w:eastAsia="宋体" w:hAnsi="Times New Roman" w:cs="Times New Roman"/>
                <w:b/>
                <w:bCs/>
                <w:spacing w:val="-1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b/>
                <w:bCs/>
                <w:spacing w:val="-1"/>
                <w:szCs w:val="21"/>
              </w:rPr>
              <w:t>件</w:t>
            </w:r>
            <w:r>
              <w:rPr>
                <w:rFonts w:ascii="Times New Roman" w:eastAsia="宋体" w:hAnsi="Times New Roman" w:cs="Times New Roman"/>
                <w:b/>
                <w:bCs/>
                <w:spacing w:val="-1"/>
                <w:szCs w:val="21"/>
              </w:rPr>
              <w:t>)</w:t>
            </w:r>
          </w:p>
        </w:tc>
      </w:tr>
      <w:tr w:rsidR="002E2C7F" w14:paraId="6534A1F5" w14:textId="77777777" w:rsidTr="00D07A42">
        <w:trPr>
          <w:trHeight w:val="90"/>
          <w:jc w:val="center"/>
        </w:trPr>
        <w:tc>
          <w:tcPr>
            <w:tcW w:w="572" w:type="dxa"/>
            <w:vAlign w:val="center"/>
          </w:tcPr>
          <w:p w14:paraId="6BF6F1BF" w14:textId="77777777" w:rsidR="002E2C7F" w:rsidRDefault="006113A2" w:rsidP="008752AC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5283D" w14:textId="77777777" w:rsidR="002E2C7F" w:rsidRDefault="006113A2" w:rsidP="008752A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知识产权（标准）类别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A05B61B" w14:textId="77777777" w:rsidR="002E2C7F" w:rsidRDefault="006113A2" w:rsidP="008752AC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b/>
                <w:bCs/>
                <w:sz w:val="21"/>
              </w:rPr>
            </w:pPr>
            <w:r>
              <w:rPr>
                <w:rFonts w:eastAsia="仿宋_GB2312" w:hAnsi="宋体" w:hint="eastAsia"/>
                <w:b/>
                <w:bCs/>
                <w:sz w:val="21"/>
              </w:rPr>
              <w:t>知识产权（标准）具体名称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7ECB9" w14:textId="77777777" w:rsidR="002E2C7F" w:rsidRDefault="006113A2" w:rsidP="008752AC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b/>
                <w:bCs/>
                <w:sz w:val="21"/>
              </w:rPr>
            </w:pPr>
            <w:r>
              <w:rPr>
                <w:rFonts w:eastAsia="仿宋_GB2312" w:hAnsi="宋体" w:hint="eastAsia"/>
                <w:b/>
                <w:bCs/>
                <w:sz w:val="21"/>
              </w:rPr>
              <w:t>国家（地区）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EB1308D" w14:textId="77777777" w:rsidR="002E2C7F" w:rsidRDefault="006113A2" w:rsidP="008752AC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b/>
                <w:bCs/>
                <w:sz w:val="21"/>
              </w:rPr>
            </w:pPr>
            <w:r>
              <w:rPr>
                <w:rFonts w:eastAsia="仿宋_GB2312" w:hAnsi="宋体" w:hint="eastAsia"/>
                <w:b/>
                <w:bCs/>
                <w:sz w:val="21"/>
              </w:rPr>
              <w:t>授权号（标准编号）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EA065AA" w14:textId="77777777" w:rsidR="002E2C7F" w:rsidRDefault="006113A2" w:rsidP="008752AC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b/>
                <w:bCs/>
                <w:sz w:val="21"/>
              </w:rPr>
            </w:pPr>
            <w:r>
              <w:rPr>
                <w:rFonts w:eastAsia="仿宋_GB2312" w:hAnsi="宋体" w:hint="eastAsia"/>
                <w:b/>
                <w:bCs/>
                <w:sz w:val="21"/>
              </w:rPr>
              <w:t>授权（标准实施）日期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6A691FCB" w14:textId="77777777" w:rsidR="002E2C7F" w:rsidRDefault="006113A2" w:rsidP="008752AC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b/>
                <w:bCs/>
                <w:sz w:val="21"/>
              </w:rPr>
            </w:pPr>
            <w:r>
              <w:rPr>
                <w:rFonts w:eastAsia="仿宋_GB2312" w:hAnsi="宋体" w:hint="eastAsia"/>
                <w:b/>
                <w:bCs/>
                <w:sz w:val="21"/>
              </w:rPr>
              <w:t>证书编号（标准批准发布部门）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5A475" w14:textId="77777777" w:rsidR="002E2C7F" w:rsidRDefault="006113A2" w:rsidP="008752AC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b/>
                <w:bCs/>
                <w:sz w:val="21"/>
              </w:rPr>
            </w:pPr>
            <w:r>
              <w:rPr>
                <w:rFonts w:eastAsia="仿宋_GB2312" w:hAnsi="宋体" w:hint="eastAsia"/>
                <w:b/>
                <w:bCs/>
                <w:sz w:val="21"/>
              </w:rPr>
              <w:t>权利人（标准起草单位）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3040E" w14:textId="77777777" w:rsidR="002E2C7F" w:rsidRDefault="006113A2" w:rsidP="008752AC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b/>
                <w:bCs/>
                <w:sz w:val="21"/>
              </w:rPr>
            </w:pPr>
            <w:r>
              <w:rPr>
                <w:rFonts w:eastAsia="仿宋_GB2312" w:hAnsi="宋体" w:hint="eastAsia"/>
                <w:b/>
                <w:bCs/>
                <w:sz w:val="21"/>
              </w:rPr>
              <w:t>发明人（标准起草人）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5AF67F9" w14:textId="77777777" w:rsidR="002E2C7F" w:rsidRDefault="006113A2" w:rsidP="008752AC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b/>
                <w:bCs/>
                <w:sz w:val="21"/>
              </w:rPr>
            </w:pPr>
            <w:r>
              <w:rPr>
                <w:rFonts w:eastAsia="仿宋_GB2312" w:hAnsi="宋体" w:hint="eastAsia"/>
                <w:b/>
                <w:bCs/>
                <w:sz w:val="21"/>
              </w:rPr>
              <w:t>发明专利（标准）有效状态</w:t>
            </w:r>
          </w:p>
        </w:tc>
      </w:tr>
      <w:tr w:rsidR="00D07A42" w14:paraId="5FB3DE92" w14:textId="77777777" w:rsidTr="00D07A42">
        <w:trPr>
          <w:trHeight w:val="90"/>
          <w:jc w:val="center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36206D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6C911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论文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DC785A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BARMR1-mediated sorafenib resistance is derived through stem-like property acquisition by activating integrin-FAK signaling pathways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01F31B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8278E" w14:textId="77777777" w:rsidR="00594EA5" w:rsidRDefault="00594EA5" w:rsidP="008752A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Signal Transduction and Targeted Therapy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7236C6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2020-06-12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C08A5" w14:textId="77777777" w:rsidR="00594EA5" w:rsidRDefault="00594EA5" w:rsidP="008752AC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DOI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10.1038/s41392-020-0189-8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7D0E" w14:textId="77777777" w:rsidR="00594EA5" w:rsidRPr="009F0A9F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bookmarkStart w:id="0" w:name="OLE_LINK9"/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湖北医药学院</w:t>
            </w:r>
            <w:bookmarkEnd w:id="0"/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；湖北医药学院附属太和医院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5721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郭兴荣</w:t>
            </w:r>
          </w:p>
          <w:p w14:paraId="22F16D0C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马石楠</w:t>
            </w:r>
          </w:p>
          <w:p w14:paraId="22F139F5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阮绪芝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92241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有效</w:t>
            </w:r>
          </w:p>
        </w:tc>
      </w:tr>
      <w:tr w:rsidR="00D07A42" w14:paraId="182AC0BF" w14:textId="77777777" w:rsidTr="00D07A42">
        <w:trPr>
          <w:trHeight w:val="90"/>
          <w:jc w:val="center"/>
        </w:trPr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6E6168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Style w:val="fontstyle01"/>
                <w:rFonts w:ascii="Times New Roman" w:eastAsia="仿宋" w:hAnsi="Times New Roman" w:cs="Times New Roman" w:hint="default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B8882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论文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09FC4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ANGPTL8 accelerates liver fibrosis mediated by HFD-induced inflammatory activity via LILRB2/ERK signaling pathways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8E1969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71D10C" w14:textId="77777777" w:rsidR="00594EA5" w:rsidRDefault="00594EA5" w:rsidP="008752AC">
            <w:pPr>
              <w:widowControl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Journal of Advanced Research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D9585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2023-05-16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0DF931" w14:textId="77777777" w:rsidR="00594EA5" w:rsidRDefault="00594EA5" w:rsidP="008752AC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DOI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10.1016/j.jare.2022.08.006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D9999" w14:textId="77777777" w:rsidR="00594EA5" w:rsidRDefault="00BD2C2A" w:rsidP="008752A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湖北医药学院附属太和医院</w:t>
            </w:r>
            <w:r w:rsidR="00594EA5">
              <w:rPr>
                <w:rFonts w:ascii="Times New Roman" w:eastAsia="仿宋" w:hAnsi="Times New Roman" w:cs="Times New Roman"/>
                <w:color w:val="000000"/>
                <w:szCs w:val="21"/>
              </w:rPr>
              <w:t>；中山大学；</w:t>
            </w:r>
            <w:r w:rsidR="00594EA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湖北医药学院附属太和医院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89C1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郭兴荣</w:t>
            </w:r>
          </w:p>
          <w:p w14:paraId="54A37EAA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蔡卫</w:t>
            </w:r>
            <w:r>
              <w:rPr>
                <w:rFonts w:ascii="Times New Roman" w:eastAsia="仿宋" w:hAnsi="Times New Roman" w:cs="Times New Roman"/>
                <w:szCs w:val="21"/>
              </w:rPr>
              <w:t>斌</w:t>
            </w:r>
          </w:p>
          <w:p w14:paraId="1F3F1986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马石楠</w:t>
            </w:r>
          </w:p>
          <w:p w14:paraId="52C2F462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王小莉</w:t>
            </w:r>
          </w:p>
          <w:p w14:paraId="1C26311D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阮绪芝</w:t>
            </w:r>
          </w:p>
          <w:p w14:paraId="0036F364" w14:textId="77777777" w:rsidR="00594EA5" w:rsidRDefault="008752AC" w:rsidP="008752A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张秋芳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23EC3D" w14:textId="77777777" w:rsidR="00594EA5" w:rsidRDefault="00594EA5" w:rsidP="008752A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有效</w:t>
            </w:r>
          </w:p>
        </w:tc>
      </w:tr>
      <w:tr w:rsidR="008D0B3D" w14:paraId="682AB4A7" w14:textId="77777777" w:rsidTr="00FB79CB">
        <w:trPr>
          <w:trHeight w:val="90"/>
          <w:jc w:val="center"/>
        </w:trPr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31266B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Style w:val="fontstyle01"/>
                <w:rFonts w:ascii="Times New Roman" w:eastAsia="仿宋" w:hAnsi="Times New Roman" w:cs="Times New Roman" w:hint="default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BB833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论文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F67ADB" w14:textId="77777777" w:rsidR="008D0B3D" w:rsidRDefault="008D0B3D" w:rsidP="008D0B3D">
            <w:pPr>
              <w:widowControl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Long-term statins administration exacerbates diabetic nephropathy via ectopic fat deposition in diabetic mice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D406D7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17336E" w14:textId="77777777" w:rsidR="008D0B3D" w:rsidRDefault="008D0B3D" w:rsidP="008D0B3D">
            <w:pPr>
              <w:widowControl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Nature Communications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CEE2E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2023-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01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24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EA5837" w14:textId="77777777" w:rsidR="008D0B3D" w:rsidRDefault="008D0B3D" w:rsidP="008D0B3D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DOI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10.1038/s41467-023-35944-z.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71969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中山大学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6AC69" w14:textId="77777777" w:rsidR="008D0B3D" w:rsidRDefault="008D0B3D" w:rsidP="008D0B3D">
            <w:pPr>
              <w:ind w:right="21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蔡卫</w:t>
            </w:r>
            <w:r>
              <w:rPr>
                <w:rFonts w:ascii="Times New Roman" w:eastAsia="仿宋" w:hAnsi="Times New Roman" w:cs="Times New Roman"/>
                <w:szCs w:val="21"/>
              </w:rPr>
              <w:t>斌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0F4C2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有效</w:t>
            </w:r>
          </w:p>
        </w:tc>
      </w:tr>
      <w:tr w:rsidR="008D0B3D" w14:paraId="1B6BD0CE" w14:textId="77777777" w:rsidTr="00BD2C2A">
        <w:trPr>
          <w:trHeight w:val="1266"/>
          <w:jc w:val="center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616660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A14672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8B6D27">
              <w:rPr>
                <w:rFonts w:ascii="Times New Roman" w:eastAsia="仿宋" w:hAnsi="Times New Roman" w:cs="Times New Roman"/>
                <w:color w:val="000000"/>
                <w:szCs w:val="21"/>
              </w:rPr>
              <w:t>论文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84787" w14:textId="77777777" w:rsidR="008D0B3D" w:rsidRPr="00BD2C2A" w:rsidRDefault="00BD2C2A" w:rsidP="00BD2C2A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2C2A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Effect of </w:t>
            </w:r>
            <w:proofErr w:type="spellStart"/>
            <w:r w:rsidRPr="00BD2C2A">
              <w:rPr>
                <w:rFonts w:ascii="Times New Roman" w:eastAsia="仿宋" w:hAnsi="Times New Roman" w:cs="Times New Roman"/>
                <w:color w:val="000000"/>
                <w:szCs w:val="21"/>
              </w:rPr>
              <w:t>Huaier</w:t>
            </w:r>
            <w:proofErr w:type="spellEnd"/>
            <w:r w:rsidRPr="00BD2C2A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granule on recurrence after curative resection of HCC: a </w:t>
            </w:r>
            <w:proofErr w:type="spellStart"/>
            <w:r w:rsidRPr="00BD2C2A">
              <w:rPr>
                <w:rFonts w:ascii="Times New Roman" w:eastAsia="仿宋" w:hAnsi="Times New Roman" w:cs="Times New Roman"/>
                <w:color w:val="000000"/>
                <w:szCs w:val="21"/>
              </w:rPr>
              <w:t>multicentre</w:t>
            </w:r>
            <w:proofErr w:type="spellEnd"/>
            <w:r w:rsidRPr="00BD2C2A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Pr="00BD2C2A">
              <w:rPr>
                <w:rFonts w:ascii="Times New Roman" w:eastAsia="仿宋" w:hAnsi="Times New Roman" w:cs="Times New Roman"/>
                <w:color w:val="000000"/>
                <w:szCs w:val="21"/>
              </w:rPr>
              <w:t>randomised</w:t>
            </w:r>
            <w:proofErr w:type="spellEnd"/>
            <w:r w:rsidRPr="00BD2C2A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clinical trial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7CBDCB" w14:textId="77777777" w:rsidR="008D0B3D" w:rsidRPr="008B6D27" w:rsidRDefault="00BD2C2A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中国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9CD9D" w14:textId="77777777" w:rsidR="008D0B3D" w:rsidRPr="008B6D27" w:rsidRDefault="00BD2C2A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ut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A1FB12" w14:textId="77777777" w:rsidR="008D0B3D" w:rsidRPr="008B6D27" w:rsidRDefault="00BD2C2A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018-525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299EC1" w14:textId="77777777" w:rsidR="008D0B3D" w:rsidRPr="008B6D27" w:rsidRDefault="00BD2C2A" w:rsidP="008D0B3D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2C2A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 DOI: </w:t>
            </w:r>
            <w:hyperlink r:id="rId6" w:tgtFrame="_blank" w:history="1">
              <w:r w:rsidRPr="00BD2C2A">
                <w:rPr>
                  <w:rFonts w:ascii="Times New Roman" w:eastAsia="仿宋" w:hAnsi="Times New Roman" w:cs="Times New Roman"/>
                  <w:color w:val="000000"/>
                  <w:szCs w:val="21"/>
                </w:rPr>
                <w:t xml:space="preserve">10.1136/gutjnl-2018-315983 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3B4F" w14:textId="77777777" w:rsidR="008D0B3D" w:rsidRPr="008B6D27" w:rsidRDefault="00BD2C2A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湖北医药学院附属太和医院；华中科技大学附属同济医院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6CD" w14:textId="77777777" w:rsidR="008D0B3D" w:rsidRPr="00FA4551" w:rsidRDefault="00BD2C2A" w:rsidP="00BD2C2A">
            <w:pPr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8B6D27">
              <w:rPr>
                <w:rFonts w:ascii="Times New Roman" w:eastAsia="仿宋" w:hAnsi="Times New Roman" w:cs="Times New Roman"/>
                <w:color w:val="000000"/>
                <w:szCs w:val="21"/>
              </w:rPr>
              <w:t>江斌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等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74FF1D" w14:textId="77777777" w:rsidR="008D0B3D" w:rsidRPr="008B6D27" w:rsidRDefault="00BD2C2A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有效</w:t>
            </w:r>
          </w:p>
        </w:tc>
      </w:tr>
      <w:tr w:rsidR="008D0B3D" w14:paraId="38D17A13" w14:textId="77777777" w:rsidTr="00D07A42">
        <w:trPr>
          <w:trHeight w:val="9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3D70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FB9EB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8B6D27">
              <w:rPr>
                <w:rFonts w:ascii="Times New Roman" w:eastAsia="仿宋" w:hAnsi="Times New Roman" w:cs="Times New Roman"/>
                <w:color w:val="000000"/>
                <w:szCs w:val="21"/>
              </w:rPr>
              <w:t>论文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A1C" w14:textId="77777777" w:rsidR="008D0B3D" w:rsidRPr="00594EA5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947A5A">
              <w:rPr>
                <w:rFonts w:ascii="Times New Roman" w:eastAsia="仿宋" w:hAnsi="Times New Roman" w:cs="Times New Roman"/>
                <w:color w:val="000000"/>
                <w:szCs w:val="21"/>
              </w:rPr>
              <w:t>SREBP1 induction mediates long-term statins therapy related myocardial lipid peroxidation and lipid deposition in TIIDM mice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3D091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中国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0D97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R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edox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biology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71532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D07A42">
              <w:rPr>
                <w:rFonts w:ascii="Times New Roman" w:eastAsia="仿宋" w:hAnsi="Times New Roman" w:cs="Times New Roman"/>
                <w:color w:val="000000"/>
                <w:szCs w:val="21"/>
              </w:rPr>
              <w:t>2024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-12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19FA" w14:textId="77777777" w:rsidR="008D0B3D" w:rsidRPr="008B6D27" w:rsidRDefault="008D0B3D" w:rsidP="008D0B3D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947A5A">
              <w:rPr>
                <w:rFonts w:ascii="Times New Roman" w:eastAsia="仿宋" w:hAnsi="Times New Roman" w:cs="Times New Roman"/>
                <w:color w:val="000000"/>
                <w:szCs w:val="21"/>
              </w:rPr>
              <w:t>DOI: 10.1016/j.redox.2024.103412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3435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46F74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中山大学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B6C" w14:textId="77777777" w:rsidR="008D0B3D" w:rsidRPr="00FA4551" w:rsidRDefault="008D0B3D" w:rsidP="00BE096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蔡卫</w:t>
            </w:r>
            <w:r>
              <w:rPr>
                <w:rFonts w:ascii="Times New Roman" w:eastAsia="仿宋" w:hAnsi="Times New Roman" w:cs="Times New Roman"/>
                <w:szCs w:val="21"/>
              </w:rPr>
              <w:t>斌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223BA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8B6D27">
              <w:rPr>
                <w:rFonts w:ascii="Times New Roman" w:eastAsia="仿宋" w:hAnsi="Times New Roman" w:cs="Times New Roman"/>
                <w:color w:val="000000"/>
                <w:szCs w:val="21"/>
              </w:rPr>
              <w:t>有效</w:t>
            </w:r>
          </w:p>
        </w:tc>
      </w:tr>
      <w:tr w:rsidR="008D0B3D" w14:paraId="540509E0" w14:textId="77777777" w:rsidTr="004D6CE5">
        <w:trPr>
          <w:trHeight w:val="9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D22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5B037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论文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FCF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Dual role of ANGPTL8 in promoting tumor cell proliferation and immune escape during hepatocarcinogenesis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7DA06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中国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924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Oncogenesis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E266C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2023-01-15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019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DOI</w:t>
            </w:r>
            <w:r w:rsidRPr="00D6048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：</w:t>
            </w:r>
            <w:r w:rsidRPr="00D6048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10.1038/s41389-023-00473-3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DA74" w14:textId="77777777" w:rsidR="008D0B3D" w:rsidRPr="00D60485" w:rsidRDefault="00BD2C2A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湖北医药学院附属太和医院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938" w14:textId="77777777" w:rsidR="008D0B3D" w:rsidRPr="008B6D27" w:rsidRDefault="008D0B3D" w:rsidP="008D0B3D">
            <w:pPr>
              <w:ind w:firstLineChars="100" w:firstLine="210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8B6D27">
              <w:rPr>
                <w:rFonts w:ascii="Times New Roman" w:eastAsia="仿宋" w:hAnsi="Times New Roman" w:cs="Times New Roman"/>
                <w:color w:val="000000"/>
                <w:szCs w:val="21"/>
              </w:rPr>
              <w:t>郭兴荣</w:t>
            </w:r>
          </w:p>
          <w:p w14:paraId="74BF3487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8B6D27">
              <w:rPr>
                <w:rFonts w:ascii="Times New Roman" w:eastAsia="仿宋" w:hAnsi="Times New Roman" w:cs="Times New Roman"/>
                <w:color w:val="000000"/>
                <w:szCs w:val="21"/>
              </w:rPr>
              <w:t>王小莉</w:t>
            </w:r>
          </w:p>
          <w:p w14:paraId="664F216B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8B6D27">
              <w:rPr>
                <w:rFonts w:ascii="Times New Roman" w:eastAsia="仿宋" w:hAnsi="Times New Roman" w:cs="Times New Roman"/>
                <w:color w:val="000000"/>
                <w:szCs w:val="21"/>
              </w:rPr>
              <w:t>冯莹</w:t>
            </w:r>
          </w:p>
          <w:p w14:paraId="04C1E1D0" w14:textId="77777777" w:rsidR="008D0B3D" w:rsidRPr="008B6D27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8B6D27">
              <w:rPr>
                <w:rFonts w:ascii="Times New Roman" w:eastAsia="仿宋" w:hAnsi="Times New Roman" w:cs="Times New Roman"/>
                <w:color w:val="000000"/>
                <w:szCs w:val="21"/>
              </w:rPr>
              <w:t>马石楠</w:t>
            </w:r>
          </w:p>
          <w:p w14:paraId="1D00972C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8B6D27">
              <w:rPr>
                <w:rFonts w:ascii="Times New Roman" w:eastAsia="仿宋" w:hAnsi="Times New Roman" w:cs="Times New Roman"/>
                <w:color w:val="000000"/>
                <w:szCs w:val="21"/>
              </w:rPr>
              <w:t>江斌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425B6" w14:textId="77777777" w:rsidR="00BD2C2A" w:rsidRDefault="00BD2C2A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14:paraId="2C178FD5" w14:textId="77777777" w:rsidR="00BD2C2A" w:rsidRDefault="00BD2C2A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14:paraId="1EF5BA9E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有效</w:t>
            </w:r>
          </w:p>
        </w:tc>
      </w:tr>
      <w:tr w:rsidR="008D0B3D" w14:paraId="5D55FF3B" w14:textId="77777777" w:rsidTr="00400CA4">
        <w:trPr>
          <w:trHeight w:val="90"/>
          <w:jc w:val="center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8C558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79B2F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论文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292839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  <w:shd w:val="clear" w:color="auto" w:fill="FFFFFF"/>
              </w:rPr>
              <w:t>Delivery of therapeutic oligonucleotides in nanoscale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8FDDA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2F8ACF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hyperlink r:id="rId7" w:tgtFrame="https://www.so.com/_blank" w:history="1">
              <w:r>
                <w:rPr>
                  <w:rFonts w:ascii="Times New Roman" w:eastAsia="仿宋" w:hAnsi="Times New Roman" w:cs="Times New Roman"/>
                  <w:szCs w:val="21"/>
                  <w:shd w:val="clear" w:color="auto" w:fill="FFFFFF"/>
                </w:rPr>
                <w:t>Bioactive Materials</w:t>
              </w:r>
            </w:hyperlink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CEF5B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2022-01-23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74CD3" w14:textId="77777777" w:rsidR="008D0B3D" w:rsidRDefault="008D0B3D" w:rsidP="008D0B3D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DOI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10.1016/j.bioactmat.2021.05.038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2188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中山大学；芬兰埃博学术大学</w:t>
            </w:r>
            <w:r>
              <w:rPr>
                <w:rFonts w:ascii="Times New Roman" w:eastAsia="仿宋" w:hAnsi="Times New Roman" w:cs="Times New Roman"/>
                <w:szCs w:val="21"/>
              </w:rPr>
              <w:t>/</w:t>
            </w:r>
            <w:proofErr w:type="spellStart"/>
            <w:r>
              <w:rPr>
                <w:rFonts w:ascii="Times New Roman" w:eastAsia="仿宋" w:hAnsi="Times New Roman" w:cs="Times New Roman"/>
                <w:szCs w:val="21"/>
              </w:rPr>
              <w:t>Åbo</w:t>
            </w:r>
            <w:proofErr w:type="spellEnd"/>
            <w:r>
              <w:rPr>
                <w:rFonts w:ascii="Times New Roman" w:eastAsia="仿宋" w:hAnsi="Times New Roman" w:cs="Times New Roman"/>
                <w:szCs w:val="21"/>
              </w:rPr>
              <w:t xml:space="preserve"> Akademi University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2105" w14:textId="77777777" w:rsidR="008D0B3D" w:rsidRDefault="008D0B3D" w:rsidP="008D0B3D">
            <w:pPr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周文辉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等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982A6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有效</w:t>
            </w:r>
          </w:p>
        </w:tc>
      </w:tr>
      <w:tr w:rsidR="008D0B3D" w14:paraId="1771D86D" w14:textId="77777777" w:rsidTr="008709BD">
        <w:trPr>
          <w:trHeight w:val="9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6E0C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3A69D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论文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B03A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/>
                <w:szCs w:val="21"/>
              </w:rPr>
              <w:t>HECTD3 inhibits NLRP3 inflammasome assembly and activation by blocking NLRP3-NEK7 interaction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456B8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中国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ACC9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AdvMyriad_I" w:hAnsi="AdvMyriad_I" w:cs="AdvMyriad_I"/>
                <w:kern w:val="0"/>
                <w:sz w:val="18"/>
                <w:szCs w:val="18"/>
              </w:rPr>
              <w:t>Cell Death and Disease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449A0" w14:textId="77777777" w:rsidR="008D0B3D" w:rsidRPr="00501296" w:rsidRDefault="008D0B3D" w:rsidP="008D0B3D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024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01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5836" w14:textId="77777777" w:rsidR="008D0B3D" w:rsidRPr="00501296" w:rsidRDefault="008D0B3D" w:rsidP="008D0B3D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DOI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Cs w:val="21"/>
              </w:rPr>
              <w:t>：</w:t>
            </w:r>
            <w:r w:rsidRPr="00501296">
              <w:rPr>
                <w:rFonts w:ascii="Times New Roman" w:eastAsia="仿宋" w:hAnsi="Times New Roman" w:cs="Times New Roman"/>
                <w:bCs/>
                <w:color w:val="000000"/>
                <w:kern w:val="0"/>
                <w:szCs w:val="21"/>
              </w:rPr>
              <w:t>10.1038/s41419-024-06473-4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EB2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昆明医科大学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EE6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周文辉</w:t>
            </w:r>
          </w:p>
          <w:p w14:paraId="7226CE65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陈策实等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E7CF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有效</w:t>
            </w:r>
          </w:p>
        </w:tc>
      </w:tr>
      <w:tr w:rsidR="008D0B3D" w14:paraId="7D8499ED" w14:textId="77777777" w:rsidTr="00585D23">
        <w:trPr>
          <w:trHeight w:val="9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A7A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AFBBB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论文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4BA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 xml:space="preserve">An Efficient and Footprint-Free Protocol for the </w:t>
            </w:r>
            <w:proofErr w:type="spellStart"/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Transdifferentiation</w:t>
            </w:r>
            <w:proofErr w:type="spellEnd"/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 xml:space="preserve"> of Hepatocytes </w:t>
            </w:r>
            <w:proofErr w:type="gramStart"/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Into</w:t>
            </w:r>
            <w:proofErr w:type="gramEnd"/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 xml:space="preserve"> Insulin-Producing Cells with IVT mRNAs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5CDB6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中国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64C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Front Genet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A00E1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2020-06-05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776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DOI</w:t>
            </w: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10.3389/fgene.2020.00575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DE5" w14:textId="77777777" w:rsidR="008D0B3D" w:rsidRPr="00D60485" w:rsidRDefault="00BD2C2A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湖北医药学院附属太和医院</w:t>
            </w:r>
            <w:r w:rsidR="008D0B3D">
              <w:rPr>
                <w:rFonts w:ascii="Times New Roman" w:eastAsia="仿宋" w:hAnsi="Times New Roman" w:cs="Times New Roman" w:hint="eastAsia"/>
                <w:szCs w:val="21"/>
              </w:rPr>
              <w:t>；东南大学</w:t>
            </w:r>
            <w:r w:rsidR="008D0B3D" w:rsidRPr="00D60485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6D7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王小莉</w:t>
            </w:r>
          </w:p>
          <w:p w14:paraId="7F89681D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马石楠</w:t>
            </w:r>
          </w:p>
          <w:p w14:paraId="556C21B6" w14:textId="77777777" w:rsidR="008D0B3D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周文辉</w:t>
            </w:r>
          </w:p>
          <w:p w14:paraId="305622A7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郭兴荣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C2AD8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有效</w:t>
            </w:r>
          </w:p>
        </w:tc>
      </w:tr>
      <w:tr w:rsidR="008D0B3D" w14:paraId="7CFFA5A6" w14:textId="77777777" w:rsidTr="008709BD">
        <w:trPr>
          <w:trHeight w:val="9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03DE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B55B5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专利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D679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一种基于</w:t>
            </w: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 xml:space="preserve">PEDF/LDLR </w:t>
            </w: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双基因敲</w:t>
            </w:r>
          </w:p>
          <w:p w14:paraId="1EC7B202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除的非酒精性脂肪性肝炎小鼠模型构建方法及应用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4A63B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中国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056B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发明专利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EA792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 w:rsidRPr="00D60485">
              <w:rPr>
                <w:rFonts w:ascii="Times New Roman" w:eastAsia="仿宋" w:hAnsi="Times New Roman" w:cs="Times New Roman"/>
                <w:szCs w:val="21"/>
              </w:rPr>
              <w:t>023</w:t>
            </w: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-</w:t>
            </w:r>
            <w:r w:rsidRPr="00D60485">
              <w:rPr>
                <w:rFonts w:ascii="Times New Roman" w:eastAsia="仿宋" w:hAnsi="Times New Roman" w:cs="Times New Roman"/>
                <w:szCs w:val="21"/>
              </w:rPr>
              <w:t>04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szCs w:val="21"/>
              </w:rPr>
              <w:t>28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73BE" w14:textId="77777777" w:rsidR="008D0B3D" w:rsidRPr="00D60485" w:rsidRDefault="008D0B3D" w:rsidP="008D0B3D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专利号：</w:t>
            </w:r>
            <w:r w:rsidRPr="00D60485">
              <w:rPr>
                <w:rFonts w:ascii="Times New Roman" w:eastAsia="仿宋" w:hAnsi="Times New Roman" w:cs="Times New Roman"/>
                <w:szCs w:val="21"/>
              </w:rPr>
              <w:t>CN114557318B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27D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中山大学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D4F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蔡卫斌等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AF682" w14:textId="77777777" w:rsidR="008D0B3D" w:rsidRPr="00D60485" w:rsidRDefault="008D0B3D" w:rsidP="008D0B3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60485">
              <w:rPr>
                <w:rFonts w:ascii="Times New Roman" w:eastAsia="仿宋" w:hAnsi="Times New Roman" w:cs="Times New Roman" w:hint="eastAsia"/>
                <w:szCs w:val="21"/>
              </w:rPr>
              <w:t>中山大学</w:t>
            </w:r>
          </w:p>
        </w:tc>
      </w:tr>
    </w:tbl>
    <w:p w14:paraId="7682DBFE" w14:textId="77777777" w:rsidR="002E2C7F" w:rsidRDefault="006113A2">
      <w:r>
        <w:rPr>
          <w:noProof/>
        </w:rPr>
        <w:lastRenderedPageBreak/>
        <w:drawing>
          <wp:anchor distT="0" distB="0" distL="0" distR="0" simplePos="0" relativeHeight="251659776" behindDoc="0" locked="0" layoutInCell="1" allowOverlap="1" wp14:anchorId="153EA7DF" wp14:editId="1FBACE96">
            <wp:simplePos x="0" y="0"/>
            <wp:positionH relativeFrom="column">
              <wp:posOffset>8121650</wp:posOffset>
            </wp:positionH>
            <wp:positionV relativeFrom="paragraph">
              <wp:posOffset>1892935</wp:posOffset>
            </wp:positionV>
            <wp:extent cx="203200" cy="266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165" cy="26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2C7F" w:rsidSect="0083786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6DB1" w14:textId="77777777" w:rsidR="00127269" w:rsidRDefault="00127269" w:rsidP="00AD6E67">
      <w:r>
        <w:separator/>
      </w:r>
    </w:p>
  </w:endnote>
  <w:endnote w:type="continuationSeparator" w:id="0">
    <w:p w14:paraId="29A679EC" w14:textId="77777777" w:rsidR="00127269" w:rsidRDefault="00127269" w:rsidP="00A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Myriad_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FCA3" w14:textId="77777777" w:rsidR="00127269" w:rsidRDefault="00127269" w:rsidP="00AD6E67">
      <w:r>
        <w:separator/>
      </w:r>
    </w:p>
  </w:footnote>
  <w:footnote w:type="continuationSeparator" w:id="0">
    <w:p w14:paraId="77706D9E" w14:textId="77777777" w:rsidR="00127269" w:rsidRDefault="00127269" w:rsidP="00AD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7F"/>
    <w:rsid w:val="001256A5"/>
    <w:rsid w:val="00126044"/>
    <w:rsid w:val="00127269"/>
    <w:rsid w:val="001400F2"/>
    <w:rsid w:val="002E2C7F"/>
    <w:rsid w:val="002F2AFA"/>
    <w:rsid w:val="00401A75"/>
    <w:rsid w:val="00424657"/>
    <w:rsid w:val="00492078"/>
    <w:rsid w:val="00501296"/>
    <w:rsid w:val="00542645"/>
    <w:rsid w:val="00594EA5"/>
    <w:rsid w:val="006113A2"/>
    <w:rsid w:val="007D42AF"/>
    <w:rsid w:val="007F707C"/>
    <w:rsid w:val="00805F0D"/>
    <w:rsid w:val="0083786D"/>
    <w:rsid w:val="00863744"/>
    <w:rsid w:val="008752AC"/>
    <w:rsid w:val="008D0B3D"/>
    <w:rsid w:val="009012F7"/>
    <w:rsid w:val="0090734E"/>
    <w:rsid w:val="009221C1"/>
    <w:rsid w:val="00947A5A"/>
    <w:rsid w:val="009573F0"/>
    <w:rsid w:val="00A90514"/>
    <w:rsid w:val="00A920FB"/>
    <w:rsid w:val="00AC4831"/>
    <w:rsid w:val="00AD6E67"/>
    <w:rsid w:val="00B109EE"/>
    <w:rsid w:val="00B446E7"/>
    <w:rsid w:val="00BD2C2A"/>
    <w:rsid w:val="00BE0960"/>
    <w:rsid w:val="00CC43A4"/>
    <w:rsid w:val="00D07A42"/>
    <w:rsid w:val="00D60485"/>
    <w:rsid w:val="00D70065"/>
    <w:rsid w:val="00D77138"/>
    <w:rsid w:val="00DD32C8"/>
    <w:rsid w:val="00DE4E73"/>
    <w:rsid w:val="00E51C80"/>
    <w:rsid w:val="00EB37A0"/>
    <w:rsid w:val="00F919BB"/>
    <w:rsid w:val="00FA4551"/>
    <w:rsid w:val="03C2759E"/>
    <w:rsid w:val="04A9250C"/>
    <w:rsid w:val="078D7EC3"/>
    <w:rsid w:val="30090737"/>
    <w:rsid w:val="3F2D2AA2"/>
    <w:rsid w:val="492359B6"/>
    <w:rsid w:val="4B841AF5"/>
    <w:rsid w:val="599E34CE"/>
    <w:rsid w:val="710B18F8"/>
    <w:rsid w:val="7144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CE9BB8"/>
  <w15:docId w15:val="{005238DC-56A8-4B50-AB88-CDF1F4F4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header"/>
    <w:basedOn w:val="a"/>
    <w:link w:val="a5"/>
    <w:rsid w:val="00AD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D6E67"/>
    <w:rPr>
      <w:kern w:val="2"/>
      <w:sz w:val="18"/>
      <w:szCs w:val="18"/>
    </w:rPr>
  </w:style>
  <w:style w:type="paragraph" w:styleId="a6">
    <w:name w:val="footer"/>
    <w:basedOn w:val="a"/>
    <w:link w:val="a7"/>
    <w:rsid w:val="00AD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D6E67"/>
    <w:rPr>
      <w:kern w:val="2"/>
      <w:sz w:val="18"/>
      <w:szCs w:val="18"/>
    </w:rPr>
  </w:style>
  <w:style w:type="character" w:customStyle="1" w:styleId="fontstyle01">
    <w:name w:val="fontstyle01"/>
    <w:autoRedefine/>
    <w:qFormat/>
    <w:rsid w:val="00594EA5"/>
    <w:rPr>
      <w:rFonts w:ascii="宋体" w:eastAsia="宋体" w:hAnsi="宋体" w:hint="eastAsia"/>
      <w:color w:val="000000"/>
      <w:sz w:val="22"/>
      <w:szCs w:val="22"/>
    </w:rPr>
  </w:style>
  <w:style w:type="character" w:customStyle="1" w:styleId="identifier">
    <w:name w:val="identifier"/>
    <w:basedOn w:val="a0"/>
    <w:rsid w:val="00BD2C2A"/>
  </w:style>
  <w:style w:type="character" w:customStyle="1" w:styleId="id-label">
    <w:name w:val="id-label"/>
    <w:basedOn w:val="a0"/>
    <w:rsid w:val="00BD2C2A"/>
  </w:style>
  <w:style w:type="character" w:styleId="a8">
    <w:name w:val="Hyperlink"/>
    <w:basedOn w:val="a0"/>
    <w:uiPriority w:val="99"/>
    <w:unhideWhenUsed/>
    <w:rsid w:val="00BD2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so.com/link?m=bfL50HU+qnAy0BhLw8CyGd/p3i5DIBm+6+Mqelf9dkbV6J2d76Ye0LQF/6VfC7Tmhc30e0kyozwtKwclxPr92DL1Nyee6fKID5PucgMQJsPM0lnMa40CcWp/lQpUbNLXFgq4pJedtYQY5PxGzeXO2UB5OEiur6ULWTKUI228ntuN3x4VSyPV5rQOVY4ho/FklcSXeYWr/zLs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36/gutjnl-2018-31598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2464374046@qq.com</cp:lastModifiedBy>
  <cp:revision>2</cp:revision>
  <dcterms:created xsi:type="dcterms:W3CDTF">2025-05-21T06:24:00Z</dcterms:created>
  <dcterms:modified xsi:type="dcterms:W3CDTF">2025-05-21T06:24:00Z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eyJoZGlkIjoiNGNmNTY1MWJiMTY4M2QyYjMwMzQ5Njk3NDc1MTE3ZTQiLCJ1c2VySWQiOiIxMzI4NzE1MzI3In0=</vt:lpwstr>
  </property>
  <property fmtid="{D5CDD505-2E9C-101B-9397-08002B2CF9AE}" pid="4" name="ICV">
    <vt:lpwstr>CDBDD26840594B4BB8A941B473CA1F04_12</vt:lpwstr>
  </property>
</Properties>
</file>